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65E9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65E92" w:rsidRDefault="000A1AC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65E92" w:rsidRDefault="000A1ACB">
            <w:pPr>
              <w:spacing w:after="0" w:line="240" w:lineRule="auto"/>
            </w:pPr>
            <w:r>
              <w:t>11228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65E92" w:rsidRDefault="000A1AC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65E92" w:rsidRDefault="000A1ACB">
            <w:pPr>
              <w:spacing w:after="0" w:line="240" w:lineRule="auto"/>
            </w:pPr>
            <w:r>
              <w:t>Osnovna škola JELENJE - DRAŽICE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65E92" w:rsidRDefault="000A1AC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65E92" w:rsidRDefault="000A1ACB">
            <w:pPr>
              <w:spacing w:after="0" w:line="240" w:lineRule="auto"/>
            </w:pPr>
            <w:r>
              <w:t>31</w:t>
            </w:r>
          </w:p>
        </w:tc>
      </w:tr>
    </w:tbl>
    <w:p w:rsidR="00165E92" w:rsidRDefault="000A1ACB">
      <w:r>
        <w:br/>
      </w:r>
    </w:p>
    <w:p w:rsidR="00165E92" w:rsidRDefault="000A1AC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65E92" w:rsidRDefault="000A1AC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65E92" w:rsidRDefault="000A1ACB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165E92" w:rsidRDefault="00165E92"/>
    <w:p w:rsidR="00165E92" w:rsidRDefault="000A1AC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65E92" w:rsidRDefault="000A1AC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5E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1.535.186,29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1.645.616,12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107,2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1.532.739,28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1.755.934,35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114,6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165E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110.318,23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13.772,10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7.102,28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51,6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165E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13.772,10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7.102,28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51,6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165E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165E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11.325,09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117.420,51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1036,8</w:t>
            </w:r>
          </w:p>
        </w:tc>
      </w:tr>
    </w:tbl>
    <w:p w:rsidR="00165E92" w:rsidRDefault="00165E92">
      <w:pPr>
        <w:spacing w:after="0"/>
      </w:pPr>
    </w:p>
    <w:p w:rsidR="00165E92" w:rsidRDefault="000A1ACB" w:rsidP="007E096F">
      <w:pPr>
        <w:jc w:val="both"/>
      </w:pPr>
      <w:r>
        <w:t>Ukupni prihodi OŠ Jelenje-Dražice u 2025. godini iznose 1.645.616,12 eura, rashodi poslovanja u 2025. godini su 1.755.934,35 eura, a rashodi za nabavu nefinancijske imovine 7.102,28 eura, što ukupno iznosi 1.763.036,63 eura rashoda, iz čega je proizašao me</w:t>
      </w:r>
      <w:r>
        <w:t>todološki manjak poslovanja od 117.420,51 euro.  Nastali manjak je metodološki iz razloga što je po propisu škola dužna sve troškove knjižiti u razdoblje u kojem su i nastali, a istovremeno za režijske troškove mjeseca prosinca škola će dobiti sredstva u s</w:t>
      </w:r>
      <w:r>
        <w:t xml:space="preserve">iječnju 2026. Isto tako, knjiženi su i svi računi za marendu za prosinac, a sredstva da podmirenje istih biti će uplaćena krajem </w:t>
      </w:r>
      <w:r>
        <w:lastRenderedPageBreak/>
        <w:t>siječnja od strane MZOM-a. Također, u ovom razdoblju knjiženo je i trinaest plaća, zbog stupanja na snagu novog Pravilnika o pr</w:t>
      </w:r>
      <w:r>
        <w:t>oračunskom računovodstvu, gdje se ukida konto 193, a prihod će biti knjižen isplatom plaće u siječnju 2026.</w:t>
      </w:r>
    </w:p>
    <w:p w:rsidR="00165E92" w:rsidRDefault="000A1ACB">
      <w:r>
        <w:br/>
      </w:r>
    </w:p>
    <w:p w:rsidR="00165E92" w:rsidRDefault="000A1AC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5E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55.465,65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70.722,50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127,5</w:t>
            </w:r>
          </w:p>
        </w:tc>
      </w:tr>
    </w:tbl>
    <w:p w:rsidR="00165E92" w:rsidRDefault="00165E92">
      <w:pPr>
        <w:spacing w:after="0"/>
      </w:pPr>
    </w:p>
    <w:p w:rsidR="00165E92" w:rsidRDefault="000A1ACB">
      <w:r>
        <w:t>Prihod se odnosi na produženi boravak te je povećan zbog većeg broja korisnika.</w:t>
      </w:r>
    </w:p>
    <w:p w:rsidR="00165E92" w:rsidRDefault="00165E92"/>
    <w:p w:rsidR="00165E92" w:rsidRDefault="000A1AC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5E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proizvoda i robe te pruženih usluga, prihodi od donacija te povrati po </w:t>
            </w:r>
            <w:r>
              <w:rPr>
                <w:sz w:val="18"/>
              </w:rPr>
              <w:t>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1.759,36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2,9</w:t>
            </w:r>
          </w:p>
        </w:tc>
      </w:tr>
    </w:tbl>
    <w:p w:rsidR="00165E92" w:rsidRDefault="00165E92">
      <w:pPr>
        <w:spacing w:after="0"/>
      </w:pPr>
    </w:p>
    <w:p w:rsidR="00165E92" w:rsidRDefault="000A1ACB">
      <w:r>
        <w:t>Prihodi su manji u odnosu na isto razdoblje prošle godine, pošto ove godine nije bilo prihoda od donacija.</w:t>
      </w:r>
    </w:p>
    <w:p w:rsidR="00165E92" w:rsidRDefault="00165E92"/>
    <w:p w:rsidR="00165E92" w:rsidRDefault="000A1AC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5E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26.735,95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40.921,74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153,1</w:t>
            </w:r>
          </w:p>
        </w:tc>
      </w:tr>
    </w:tbl>
    <w:p w:rsidR="00165E92" w:rsidRDefault="00165E92">
      <w:pPr>
        <w:spacing w:after="0"/>
      </w:pPr>
    </w:p>
    <w:p w:rsidR="00165E92" w:rsidRDefault="000A1ACB" w:rsidP="007E096F">
      <w:pPr>
        <w:jc w:val="both"/>
      </w:pPr>
      <w:r>
        <w:t>Plaća za prekovremeni rad uvećana je zbog velikog broja bolovanja i nemogućnosti pronalaženja kadra za zamjenu.</w:t>
      </w:r>
    </w:p>
    <w:p w:rsidR="00165E92" w:rsidRDefault="00165E92"/>
    <w:p w:rsidR="00165E92" w:rsidRDefault="000A1AC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5E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46.200,77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67.633,11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146,4</w:t>
            </w:r>
          </w:p>
        </w:tc>
      </w:tr>
    </w:tbl>
    <w:p w:rsidR="00165E92" w:rsidRDefault="00165E92">
      <w:pPr>
        <w:spacing w:after="0"/>
      </w:pPr>
    </w:p>
    <w:p w:rsidR="00165E92" w:rsidRDefault="000A1ACB">
      <w:r>
        <w:lastRenderedPageBreak/>
        <w:t>Ostali rashodi za zaposlene uvećani su zbog odlaska tri djelatnice u mirovinu te time isplatom otpremnina, te isplata neiskorištenog godišnjeg odmora.</w:t>
      </w:r>
    </w:p>
    <w:p w:rsidR="00165E92" w:rsidRDefault="00165E92"/>
    <w:p w:rsidR="00165E92" w:rsidRDefault="000A1AC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5E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2.864,77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6.151,65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214,7</w:t>
            </w:r>
          </w:p>
        </w:tc>
      </w:tr>
    </w:tbl>
    <w:p w:rsidR="00165E92" w:rsidRDefault="00165E92">
      <w:pPr>
        <w:spacing w:after="0"/>
      </w:pPr>
    </w:p>
    <w:p w:rsidR="00165E92" w:rsidRDefault="000A1ACB" w:rsidP="007E096F">
      <w:pPr>
        <w:jc w:val="both"/>
      </w:pPr>
      <w:r>
        <w:t xml:space="preserve">Rashod računalnih usluga povećan je u odnosu na prošli godinu pošto cijelu 2025. godinu škola plaća </w:t>
      </w:r>
      <w:proofErr w:type="spellStart"/>
      <w:r>
        <w:t>Cloud</w:t>
      </w:r>
      <w:proofErr w:type="spellEnd"/>
      <w:r>
        <w:t xml:space="preserve"> aplikaciju </w:t>
      </w:r>
      <w:proofErr w:type="spellStart"/>
      <w:r>
        <w:t>eUred</w:t>
      </w:r>
      <w:proofErr w:type="spellEnd"/>
      <w:r>
        <w:t xml:space="preserve"> za škole čiji je godišnji trošak 2.835,00 eura.</w:t>
      </w:r>
    </w:p>
    <w:p w:rsidR="00165E92" w:rsidRDefault="00165E92"/>
    <w:p w:rsidR="00165E92" w:rsidRDefault="000A1AC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5E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3.323,89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1349,5</w:t>
            </w:r>
          </w:p>
        </w:tc>
      </w:tr>
    </w:tbl>
    <w:p w:rsidR="00165E92" w:rsidRDefault="00165E92">
      <w:pPr>
        <w:spacing w:after="0"/>
      </w:pPr>
    </w:p>
    <w:p w:rsidR="00165E92" w:rsidRDefault="000A1ACB" w:rsidP="007E096F">
      <w:pPr>
        <w:jc w:val="both"/>
      </w:pPr>
      <w:r>
        <w:t xml:space="preserve">Rashodi su povećani pošto je škola ove godine imala dva poveća računa od </w:t>
      </w:r>
      <w:proofErr w:type="spellStart"/>
      <w:r>
        <w:t>Indel</w:t>
      </w:r>
      <w:proofErr w:type="spellEnd"/>
      <w:r>
        <w:t xml:space="preserve"> zaštite za procjenu rizika i osposobljavanje radnika.</w:t>
      </w:r>
    </w:p>
    <w:p w:rsidR="00165E92" w:rsidRDefault="00165E92"/>
    <w:p w:rsidR="00165E92" w:rsidRDefault="000A1AC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5E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</w:t>
            </w:r>
            <w:r>
              <w:rPr>
                <w:b/>
                <w:sz w:val="18"/>
              </w:rPr>
              <w:t>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165E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110.318,23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65E92" w:rsidRDefault="00165E92">
      <w:pPr>
        <w:spacing w:after="0"/>
      </w:pPr>
    </w:p>
    <w:p w:rsidR="00165E92" w:rsidRDefault="000A1ACB" w:rsidP="007E096F">
      <w:pPr>
        <w:jc w:val="both"/>
      </w:pPr>
      <w:r>
        <w:t>Nastali manjak prihoda poslovanja je metodološki, iz razloga što je po propisu škola dužna sve troškove knjižiti u razdoblje u kojem su i ostvareni, a istovremeno za režijske troškove mjeseca prosinca dobiti će sredstva u siječnju 2026. Isto tako, knjiženi</w:t>
      </w:r>
      <w:r>
        <w:t xml:space="preserve"> su i svi računi za marendu za prosinac, a sredstva za podmirenje istih biti će uplaćena krajem siječnja od strane MZOM-a. Također, u ovom razdoblju knjiženo je trinaest plaća, zbog stupanja na snagu novog Pravilnika o proračunskom računovodstvu, gdje se u</w:t>
      </w:r>
      <w:r>
        <w:t>kida konto 193, a prihod će biti knjižen isplatom plaće u siječnju.</w:t>
      </w:r>
    </w:p>
    <w:p w:rsidR="00165E92" w:rsidRDefault="00165E92"/>
    <w:p w:rsidR="00165E92" w:rsidRDefault="000A1ACB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165E92" w:rsidRDefault="000A1AC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5E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4.591,08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6.086,69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132,6</w:t>
            </w:r>
          </w:p>
        </w:tc>
      </w:tr>
    </w:tbl>
    <w:p w:rsidR="00165E92" w:rsidRDefault="00165E92">
      <w:pPr>
        <w:spacing w:after="0"/>
      </w:pPr>
    </w:p>
    <w:p w:rsidR="00165E92" w:rsidRDefault="000A1ACB" w:rsidP="007E096F">
      <w:pPr>
        <w:jc w:val="both"/>
      </w:pPr>
      <w:r>
        <w:t>Potraživanja za bolovanja, svake se godine tijekom prosinca kompenziraju na razini HZZO i MZOM.</w:t>
      </w:r>
    </w:p>
    <w:p w:rsidR="00165E92" w:rsidRDefault="00165E92"/>
    <w:p w:rsidR="00165E92" w:rsidRDefault="000A1AC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5E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</w:t>
            </w:r>
            <w:r>
              <w:rPr>
                <w:sz w:val="18"/>
              </w:rPr>
              <w:t xml:space="preserve">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4.367,89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127.698,55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2923,6</w:t>
            </w:r>
          </w:p>
        </w:tc>
      </w:tr>
    </w:tbl>
    <w:p w:rsidR="00165E92" w:rsidRDefault="00165E92">
      <w:pPr>
        <w:spacing w:after="0"/>
      </w:pPr>
    </w:p>
    <w:p w:rsidR="00165E92" w:rsidRDefault="000A1ACB" w:rsidP="007E096F">
      <w:pPr>
        <w:jc w:val="both"/>
      </w:pPr>
      <w:r>
        <w:t>Iznos od 127.698,55 sastoji se od potraživanja za plaću i naknadu za invalide za 12/2025, potraživanja za materijalna prava 12/2025 te potraživanja za marendu, produženi boravak i DTR za 12/2025.</w:t>
      </w:r>
    </w:p>
    <w:p w:rsidR="00165E92" w:rsidRDefault="00165E92"/>
    <w:p w:rsidR="00165E92" w:rsidRDefault="000A1AC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5E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upravne i administrativne pristojbe, pristojbe po posebnim propisima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5.233,59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10.260,59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196,1</w:t>
            </w:r>
          </w:p>
        </w:tc>
      </w:tr>
    </w:tbl>
    <w:p w:rsidR="00165E92" w:rsidRDefault="00165E92">
      <w:pPr>
        <w:spacing w:after="0"/>
      </w:pPr>
    </w:p>
    <w:p w:rsidR="00165E92" w:rsidRDefault="000A1ACB" w:rsidP="007E096F">
      <w:pPr>
        <w:jc w:val="both"/>
      </w:pPr>
      <w:r>
        <w:t>Potraživanja od roditelja za uslugu produženog boravaka. Računi se dostavljaju roditeljima po izvršenju usluge krajem svakog mjeseca. Ove godine su uvećana pošto su uplatnice za 12/2025 izdane tek sredinom siječnja zbog čekanja na programsko rješenje pošto</w:t>
      </w:r>
      <w:r>
        <w:t xml:space="preserve"> od ove godine škola nema vlastiti žiro račun već jedinstveni račun proračuna.</w:t>
      </w:r>
    </w:p>
    <w:p w:rsidR="00165E92" w:rsidRDefault="00165E92"/>
    <w:p w:rsidR="00165E92" w:rsidRDefault="000A1AC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5E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budućih razdoblja i nedospjela naplata prihoda (aktivna </w:t>
            </w:r>
            <w:r>
              <w:rPr>
                <w:sz w:val="18"/>
              </w:rPr>
              <w:t>vremenska razgraničenja) (šifre 191 do 193)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103.398,02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165E92" w:rsidRDefault="00165E92">
      <w:pPr>
        <w:spacing w:after="0"/>
      </w:pPr>
    </w:p>
    <w:p w:rsidR="00165E92" w:rsidRDefault="000A1ACB" w:rsidP="007E096F">
      <w:pPr>
        <w:jc w:val="both"/>
      </w:pPr>
      <w:r>
        <w:t>Zbog stupanja na snagu novog Pravilnika o proračunskom računovodstvu, sa 01.01.2025. ukida se konto 193.</w:t>
      </w:r>
    </w:p>
    <w:p w:rsidR="00165E92" w:rsidRDefault="00165E92"/>
    <w:p w:rsidR="00165E92" w:rsidRDefault="000A1AC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5E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3.893,47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3,1</w:t>
            </w:r>
          </w:p>
        </w:tc>
      </w:tr>
    </w:tbl>
    <w:p w:rsidR="00165E92" w:rsidRDefault="00165E92">
      <w:pPr>
        <w:spacing w:after="0"/>
      </w:pPr>
    </w:p>
    <w:p w:rsidR="00165E92" w:rsidRDefault="000A1ACB">
      <w:r>
        <w:t xml:space="preserve">Ostale tekuće obveze su </w:t>
      </w:r>
      <w:r w:rsidR="007E096F">
        <w:t>s</w:t>
      </w:r>
      <w:r>
        <w:t>manjene iz razloga što se od 01.01.2025. konto 239580 ukinuo te se sada knjiži na 276120.</w:t>
      </w:r>
    </w:p>
    <w:p w:rsidR="00165E92" w:rsidRDefault="00165E92"/>
    <w:p w:rsidR="00165E92" w:rsidRDefault="000A1ACB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165E92" w:rsidRDefault="000A1AC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65E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188.969,71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65E92" w:rsidRDefault="00165E92">
      <w:pPr>
        <w:spacing w:after="0"/>
      </w:pPr>
    </w:p>
    <w:p w:rsidR="00165E92" w:rsidRDefault="000A1ACB" w:rsidP="007E096F">
      <w:pPr>
        <w:jc w:val="both"/>
      </w:pPr>
      <w:r>
        <w:t>Smanjenje u iznosu od 188.969,71 euro odnosi se na ispravak vrijednosti dugotrajne nefinancijske imovine:</w:t>
      </w:r>
    </w:p>
    <w:p w:rsidR="00165E92" w:rsidRDefault="000A1ACB">
      <w:r>
        <w:t>16.150,79 ispravak vrijednosti knjiga</w:t>
      </w:r>
    </w:p>
    <w:p w:rsidR="00165E92" w:rsidRDefault="000A1ACB">
      <w:r>
        <w:t>80.025,13 ispravak vrijednosti postrojenja i opreme</w:t>
      </w:r>
    </w:p>
    <w:p w:rsidR="00165E92" w:rsidRDefault="000A1ACB">
      <w:r>
        <w:t>92.793,79 ispravak vrijednosti građevinskih objekata</w:t>
      </w:r>
    </w:p>
    <w:p w:rsidR="00165E92" w:rsidRDefault="00165E92"/>
    <w:p w:rsidR="00165E92" w:rsidRDefault="000A1ACB">
      <w:pPr>
        <w:keepNext/>
        <w:spacing w:line="240" w:lineRule="auto"/>
        <w:jc w:val="center"/>
      </w:pPr>
      <w:r>
        <w:rPr>
          <w:b/>
          <w:sz w:val="28"/>
        </w:rPr>
        <w:t>Izvješ</w:t>
      </w:r>
      <w:r>
        <w:rPr>
          <w:b/>
          <w:sz w:val="28"/>
        </w:rPr>
        <w:t>taj o obvezama</w:t>
      </w:r>
    </w:p>
    <w:p w:rsidR="00165E92" w:rsidRDefault="000A1ACB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65E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65E9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165E9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65E92" w:rsidRDefault="000A1AC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65E92" w:rsidRDefault="00165E92">
      <w:pPr>
        <w:spacing w:after="0"/>
      </w:pPr>
    </w:p>
    <w:p w:rsidR="00165E92" w:rsidRDefault="000A1ACB" w:rsidP="007E096F">
      <w:pPr>
        <w:jc w:val="both"/>
      </w:pPr>
      <w:r>
        <w:t>Iznos dospjelih obveza odnosi se na jedan račun za nabavu udžbenika za učenika koji je naknadno upisan.</w:t>
      </w:r>
      <w:bookmarkStart w:id="0" w:name="_GoBack"/>
      <w:bookmarkEnd w:id="0"/>
    </w:p>
    <w:p w:rsidR="00165E92" w:rsidRDefault="00165E92"/>
    <w:sectPr w:rsidR="00165E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E92"/>
    <w:rsid w:val="000A1ACB"/>
    <w:rsid w:val="00165E92"/>
    <w:rsid w:val="007E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7435"/>
  <w15:docId w15:val="{B27C65DF-73BB-44DA-AF09-0F8CEA5D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Korisnik</cp:lastModifiedBy>
  <cp:revision>2</cp:revision>
  <dcterms:created xsi:type="dcterms:W3CDTF">2026-01-28T09:51:00Z</dcterms:created>
  <dcterms:modified xsi:type="dcterms:W3CDTF">2026-01-28T09:51:00Z</dcterms:modified>
</cp:coreProperties>
</file>